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EE22C9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7D1CEA78" w:rsidR="00F74017" w:rsidRPr="00EE22C9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</w:rPr>
      </w:pPr>
      <w:r w:rsidRPr="00EE22C9">
        <w:rPr>
          <w:rFonts w:ascii="Arial" w:eastAsia="Times New Roman" w:hAnsi="Arial" w:cs="Arial"/>
          <w:b/>
          <w:bCs/>
        </w:rPr>
        <w:t>„</w:t>
      </w:r>
      <w:r w:rsidR="00EE22C9" w:rsidRPr="00EE22C9">
        <w:rPr>
          <w:rFonts w:ascii="Arial" w:hAnsi="Arial" w:cs="Arial"/>
          <w:b/>
        </w:rPr>
        <w:t>Obnova hospodářských sjezdů a odvodnění silnic III/322 54, III/322 51 a II/322_stavba Dašice, obchvat</w:t>
      </w:r>
      <w:r w:rsidRPr="00EE22C9">
        <w:rPr>
          <w:rFonts w:ascii="Arial" w:hAnsi="Arial" w:cs="Arial"/>
          <w:b/>
          <w:bCs/>
          <w:noProof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4B66FA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B66FA"/>
    <w:rsid w:val="004D08FD"/>
    <w:rsid w:val="004F6386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44A1B"/>
    <w:rsid w:val="006803D9"/>
    <w:rsid w:val="006B26B3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C282B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108D1"/>
    <w:rsid w:val="00C52DB9"/>
    <w:rsid w:val="00C94368"/>
    <w:rsid w:val="00D34186"/>
    <w:rsid w:val="00D73DE2"/>
    <w:rsid w:val="00D8275A"/>
    <w:rsid w:val="00DE0699"/>
    <w:rsid w:val="00EA6234"/>
    <w:rsid w:val="00EB77B0"/>
    <w:rsid w:val="00EE22C9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36</cp:revision>
  <dcterms:created xsi:type="dcterms:W3CDTF">2024-08-15T21:31:00Z</dcterms:created>
  <dcterms:modified xsi:type="dcterms:W3CDTF">2025-08-27T09:13:00Z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